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6A" w:rsidRDefault="00920CFD" w:rsidP="008B126A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rPr>
          <w:rFonts w:ascii="Calibri" w:hAnsi="Calibri"/>
          <w:color w:val="000000" w:themeColor="text1"/>
          <w:szCs w:val="24"/>
        </w:rPr>
      </w:pPr>
      <w:bookmarkStart w:id="0" w:name="_Toc28023404"/>
      <w:r>
        <w:rPr>
          <w:rFonts w:ascii="Calibri" w:hAnsi="Calibri"/>
          <w:color w:val="000000" w:themeColor="text1"/>
          <w:szCs w:val="24"/>
        </w:rPr>
        <w:t>Приложение 2</w:t>
      </w:r>
      <w:bookmarkStart w:id="1" w:name="_GoBack"/>
      <w:bookmarkEnd w:id="1"/>
    </w:p>
    <w:p w:rsidR="008B126A" w:rsidRDefault="008B126A" w:rsidP="008B126A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Решению Совета депутатов</w:t>
      </w:r>
    </w:p>
    <w:p w:rsidR="008B126A" w:rsidRDefault="008B126A" w:rsidP="008B126A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городского поселения Зеленоборский</w:t>
      </w:r>
    </w:p>
    <w:p w:rsidR="008B126A" w:rsidRDefault="008B126A" w:rsidP="008B126A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 xml:space="preserve">Кандалакшского района </w:t>
      </w:r>
    </w:p>
    <w:p w:rsidR="008B126A" w:rsidRPr="008B126A" w:rsidRDefault="001C49D7" w:rsidP="008B126A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от 02.05.2024  № 892</w:t>
      </w:r>
    </w:p>
    <w:p w:rsidR="008B126A" w:rsidRDefault="008B126A" w:rsidP="00A10C88">
      <w:pPr>
        <w:pStyle w:val="3"/>
        <w:spacing w:before="240"/>
        <w:jc w:val="both"/>
        <w:rPr>
          <w:b w:val="0"/>
          <w:lang w:val="ru-RU"/>
        </w:rPr>
      </w:pPr>
    </w:p>
    <w:p w:rsidR="002A259B" w:rsidRPr="00A10C88" w:rsidRDefault="00E41643" w:rsidP="00A10C88">
      <w:pPr>
        <w:pStyle w:val="3"/>
        <w:spacing w:before="240"/>
        <w:jc w:val="both"/>
        <w:rPr>
          <w:b w:val="0"/>
          <w:lang w:val="ru-RU"/>
        </w:rPr>
      </w:pPr>
      <w:r w:rsidRPr="00A10C88">
        <w:rPr>
          <w:b w:val="0"/>
        </w:rPr>
        <w:t xml:space="preserve">Статья </w:t>
      </w:r>
      <w:r w:rsidRPr="00A10C88">
        <w:rPr>
          <w:b w:val="0"/>
          <w:lang w:val="ru-RU"/>
        </w:rPr>
        <w:t>5</w:t>
      </w:r>
      <w:r w:rsidR="003B5075" w:rsidRPr="00A10C88">
        <w:rPr>
          <w:b w:val="0"/>
        </w:rPr>
        <w:t>6</w:t>
      </w:r>
      <w:r w:rsidR="00A10C88" w:rsidRPr="00A10C88">
        <w:rPr>
          <w:b w:val="0"/>
          <w:lang w:val="ru-RU"/>
        </w:rPr>
        <w:t xml:space="preserve">. </w:t>
      </w:r>
      <w:r w:rsidR="003B5075" w:rsidRPr="00A10C88">
        <w:rPr>
          <w:b w:val="0"/>
        </w:rPr>
        <w:t>Территориальная зон</w:t>
      </w:r>
      <w:r w:rsidRPr="00A10C88">
        <w:rPr>
          <w:b w:val="0"/>
        </w:rPr>
        <w:t>а ведения садоводства на землях</w:t>
      </w:r>
      <w:r w:rsidR="00A10C88" w:rsidRPr="00A10C88">
        <w:rPr>
          <w:b w:val="0"/>
          <w:lang w:val="ru-RU"/>
        </w:rPr>
        <w:t xml:space="preserve"> </w:t>
      </w:r>
      <w:r w:rsidR="003B5075" w:rsidRPr="00A10C88">
        <w:rPr>
          <w:b w:val="0"/>
        </w:rPr>
        <w:t xml:space="preserve">сельскохозяйственного </w:t>
      </w:r>
      <w:r w:rsidR="00A10C88">
        <w:rPr>
          <w:b w:val="0"/>
          <w:lang w:val="ru-RU"/>
        </w:rPr>
        <w:t xml:space="preserve">        </w:t>
      </w:r>
      <w:r w:rsidR="003B5075" w:rsidRPr="00A10C88">
        <w:rPr>
          <w:b w:val="0"/>
        </w:rPr>
        <w:t>назначения за пределами границ населенных пунктов и в</w:t>
      </w:r>
      <w:r w:rsidR="00A10C88" w:rsidRPr="00A10C88">
        <w:rPr>
          <w:b w:val="0"/>
          <w:lang w:val="ru-RU"/>
        </w:rPr>
        <w:t xml:space="preserve"> </w:t>
      </w:r>
      <w:proofErr w:type="spellStart"/>
      <w:r w:rsidR="00A10C88" w:rsidRPr="00A10C88">
        <w:rPr>
          <w:b w:val="0"/>
          <w:lang w:val="ru-RU"/>
        </w:rPr>
        <w:t>жд</w:t>
      </w:r>
      <w:proofErr w:type="spellEnd"/>
      <w:r w:rsidR="00A10C88" w:rsidRPr="00A10C88">
        <w:rPr>
          <w:b w:val="0"/>
          <w:lang w:val="ru-RU"/>
        </w:rPr>
        <w:t xml:space="preserve">. ст. Ковда, </w:t>
      </w:r>
      <w:r w:rsidR="003B5075" w:rsidRPr="00A10C88">
        <w:rPr>
          <w:b w:val="0"/>
          <w:lang w:val="ru-RU"/>
        </w:rPr>
        <w:t xml:space="preserve"> </w:t>
      </w:r>
      <w:proofErr w:type="spellStart"/>
      <w:r w:rsidR="003B5075" w:rsidRPr="00A10C88">
        <w:rPr>
          <w:b w:val="0"/>
          <w:lang w:val="ru-RU"/>
        </w:rPr>
        <w:t>нп</w:t>
      </w:r>
      <w:proofErr w:type="spellEnd"/>
      <w:r w:rsidR="003B5075" w:rsidRPr="00A10C88">
        <w:rPr>
          <w:b w:val="0"/>
          <w:lang w:val="ru-RU"/>
        </w:rPr>
        <w:t xml:space="preserve">. </w:t>
      </w:r>
      <w:proofErr w:type="spellStart"/>
      <w:r w:rsidR="003B5075" w:rsidRPr="00A10C88">
        <w:rPr>
          <w:b w:val="0"/>
          <w:lang w:val="ru-RU"/>
        </w:rPr>
        <w:t>Пояконда</w:t>
      </w:r>
      <w:proofErr w:type="spellEnd"/>
      <w:r w:rsidR="003B5075" w:rsidRPr="00A10C88">
        <w:rPr>
          <w:b w:val="0"/>
        </w:rPr>
        <w:t xml:space="preserve"> </w:t>
      </w:r>
      <w:bookmarkEnd w:id="0"/>
    </w:p>
    <w:p w:rsidR="00537A56" w:rsidRPr="00537DBF" w:rsidRDefault="00537A56" w:rsidP="00537A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szCs w:val="24"/>
        </w:rPr>
      </w:pPr>
      <w:r w:rsidRPr="00A10C88">
        <w:rPr>
          <w:szCs w:val="24"/>
        </w:rPr>
        <w:t>1.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888"/>
        <w:gridCol w:w="3207"/>
        <w:gridCol w:w="3119"/>
      </w:tblGrid>
      <w:tr w:rsidR="00537A56" w:rsidRPr="000F2147" w:rsidTr="00BC592E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5F63D3">
              <w:t>Вид разрешённого использования земельного участка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5F63D3">
              <w:t>Вид разрешённого использования объекта капитального строительства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5F63D3">
              <w:t>Вспомогательный вид разрешённого использования объекта капитального строительства</w:t>
            </w:r>
          </w:p>
        </w:tc>
      </w:tr>
      <w:tr w:rsidR="00537A56" w:rsidRPr="000F2147" w:rsidTr="00BC592E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ind w:firstLine="0"/>
              <w:contextualSpacing/>
            </w:pPr>
            <w:r w:rsidRPr="005F63D3"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5F63D3">
              <w:t>Наименование</w:t>
            </w:r>
          </w:p>
        </w:tc>
        <w:tc>
          <w:tcPr>
            <w:tcW w:w="32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7A56" w:rsidRPr="005F63D3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</w:p>
        </w:tc>
      </w:tr>
      <w:tr w:rsidR="00537A56" w:rsidRPr="000F2147" w:rsidTr="00BC592E">
        <w:trPr>
          <w:trHeight w:val="32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32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Садовый дом, жилой дом</w:t>
            </w:r>
          </w:p>
        </w:tc>
        <w:tc>
          <w:tcPr>
            <w:tcW w:w="3119" w:type="dxa"/>
          </w:tcPr>
          <w:p w:rsidR="00537A56" w:rsidRPr="000B4DEC" w:rsidRDefault="00537A56" w:rsidP="0001127E">
            <w:pPr>
              <w:spacing w:line="240" w:lineRule="auto"/>
              <w:ind w:firstLine="0"/>
              <w:contextualSpacing/>
              <w:jc w:val="both"/>
            </w:pPr>
            <w:r w:rsidRPr="000B4DEC">
              <w:t xml:space="preserve">Хозяйственные постройки, гаражи, беседки и навесы, в </w:t>
            </w:r>
            <w:proofErr w:type="spellStart"/>
            <w:r w:rsidRPr="000B4DEC">
              <w:t>т.ч</w:t>
            </w:r>
            <w:proofErr w:type="spellEnd"/>
            <w:r w:rsidRPr="000B4DEC">
              <w:t xml:space="preserve">. предназначенные для осуществления хозяйственной деятельности, </w:t>
            </w:r>
            <w:r w:rsidRPr="00B64D07">
              <w:t>строения для мелких домашних животных и птицы не требующих выпаса</w:t>
            </w:r>
            <w:proofErr w:type="gramStart"/>
            <w:r w:rsidRPr="000B4DEC">
              <w:t xml:space="preserve"> </w:t>
            </w:r>
            <w:r>
              <w:t>,</w:t>
            </w:r>
            <w:proofErr w:type="gramEnd"/>
            <w:r w:rsidRPr="000B4DEC">
              <w:t>теплицы, оранжереи, индивидуальные бассейны, бани и сауны</w:t>
            </w:r>
          </w:p>
        </w:tc>
      </w:tr>
      <w:tr w:rsidR="00537A56" w:rsidRPr="000F2147" w:rsidTr="00BC592E">
        <w:trPr>
          <w:trHeight w:val="750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32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537A56">
            <w:pPr>
              <w:spacing w:line="240" w:lineRule="auto"/>
              <w:ind w:firstLine="0"/>
              <w:jc w:val="both"/>
              <w:rPr>
                <w:szCs w:val="24"/>
              </w:rPr>
            </w:pPr>
            <w:r w:rsidRPr="00537DBF">
              <w:rPr>
                <w:szCs w:val="24"/>
              </w:rPr>
              <w:t xml:space="preserve">Жилой дом (отдельно стоящее здание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 </w:t>
            </w:r>
          </w:p>
        </w:tc>
        <w:tc>
          <w:tcPr>
            <w:tcW w:w="3119" w:type="dxa"/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DB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гаражи, беседки и навесы, в </w:t>
            </w:r>
            <w:proofErr w:type="spellStart"/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. предназначенные для осуществления хозяйственной деятельности, теплицы, оранжереи, индивидуальные бассейны, бани и сауны</w:t>
            </w:r>
            <w:proofErr w:type="gramEnd"/>
          </w:p>
        </w:tc>
      </w:tr>
      <w:tr w:rsidR="00537A56" w:rsidRPr="000F2147" w:rsidTr="00BC592E">
        <w:trPr>
          <w:trHeight w:val="750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32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spacing w:line="240" w:lineRule="auto"/>
              <w:ind w:firstLine="0"/>
              <w:jc w:val="both"/>
              <w:rPr>
                <w:szCs w:val="24"/>
              </w:rPr>
            </w:pPr>
            <w:r w:rsidRPr="00537DBF">
              <w:rPr>
                <w:szCs w:val="24"/>
              </w:rPr>
              <w:t>Здания и сооружения в целях обеспечения физических и юридических лиц коммунальными услугами</w:t>
            </w:r>
          </w:p>
        </w:tc>
        <w:tc>
          <w:tcPr>
            <w:tcW w:w="3119" w:type="dxa"/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537A56" w:rsidRPr="000F2147" w:rsidTr="00BC592E">
        <w:trPr>
          <w:trHeight w:val="750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32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spacing w:line="240" w:lineRule="auto"/>
              <w:ind w:firstLine="0"/>
              <w:jc w:val="both"/>
              <w:rPr>
                <w:szCs w:val="24"/>
              </w:rPr>
            </w:pPr>
            <w:r w:rsidRPr="00537DBF">
              <w:rPr>
                <w:szCs w:val="24"/>
              </w:rPr>
              <w:t xml:space="preserve">Объекты капитального строительства, </w:t>
            </w:r>
            <w:proofErr w:type="gramStart"/>
            <w:r w:rsidRPr="00537DBF">
              <w:rPr>
                <w:szCs w:val="24"/>
              </w:rPr>
              <w:t>предназначенных</w:t>
            </w:r>
            <w:proofErr w:type="gramEnd"/>
            <w:r w:rsidRPr="00537DBF">
              <w:rPr>
                <w:szCs w:val="24"/>
              </w:rPr>
              <w:t xml:space="preserve"> для оказания гражданам медицинской помощи</w:t>
            </w:r>
          </w:p>
        </w:tc>
        <w:tc>
          <w:tcPr>
            <w:tcW w:w="3119" w:type="dxa"/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690480" w:rsidRPr="000F2147" w:rsidTr="00BC592E">
        <w:trPr>
          <w:trHeight w:val="750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0480" w:rsidRPr="00690480" w:rsidRDefault="00690480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6.9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0480" w:rsidRPr="00690480" w:rsidRDefault="0038794F" w:rsidP="0001127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Склад</w:t>
            </w:r>
          </w:p>
        </w:tc>
        <w:tc>
          <w:tcPr>
            <w:tcW w:w="32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0480" w:rsidRPr="00690480" w:rsidRDefault="0038794F" w:rsidP="0001127E">
            <w:pPr>
              <w:spacing w:line="240" w:lineRule="auto"/>
              <w:ind w:firstLine="0"/>
              <w:jc w:val="both"/>
              <w:rPr>
                <w:szCs w:val="24"/>
                <w:highlight w:val="yellow"/>
              </w:rPr>
            </w:pPr>
            <w:proofErr w:type="gramStart"/>
            <w:r>
              <w:rPr>
                <w:rFonts w:asciiTheme="minorHAnsi" w:hAnsiTheme="minorHAnsi"/>
                <w:highlight w:val="yellow"/>
              </w:rPr>
              <w:t>С</w:t>
            </w:r>
            <w:r w:rsidRPr="00AB1604">
              <w:rPr>
                <w:rFonts w:asciiTheme="minorHAnsi" w:hAnsiTheme="minorHAnsi"/>
                <w:highlight w:val="yellow"/>
              </w:rPr>
              <w:t>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3119" w:type="dxa"/>
          </w:tcPr>
          <w:p w:rsidR="00690480" w:rsidRPr="00690480" w:rsidRDefault="0038794F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4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устанавливается</w:t>
            </w:r>
          </w:p>
        </w:tc>
      </w:tr>
      <w:tr w:rsidR="00537A56" w:rsidRPr="000F2147" w:rsidTr="00BC592E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537DBF" w:rsidRDefault="00537A56" w:rsidP="00960E4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Объекты ули</w:t>
            </w:r>
            <w:r w:rsidR="00EC411A">
              <w:rPr>
                <w:rFonts w:ascii="Times New Roman" w:hAnsi="Times New Roman" w:cs="Times New Roman"/>
                <w:sz w:val="24"/>
                <w:szCs w:val="24"/>
              </w:rPr>
              <w:t>чно-дорожной сети: автомобильные</w:t>
            </w: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EC411A" w:rsidRPr="00960E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0E4A" w:rsidRPr="00960E4A">
              <w:rPr>
                <w:rFonts w:ascii="Times New Roman" w:hAnsi="Times New Roman" w:cs="Times New Roman"/>
                <w:sz w:val="24"/>
                <w:szCs w:val="24"/>
              </w:rPr>
              <w:t>трамвайные пути и пешеходные тротуары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</w:t>
            </w:r>
            <w:r w:rsidR="00960E4A" w:rsidRPr="00960E4A">
              <w:rPr>
                <w:rFonts w:ascii="Times New Roman" w:hAnsi="Times New Roman" w:cs="Times New Roman"/>
                <w:sz w:val="24"/>
                <w:szCs w:val="24"/>
              </w:rPr>
              <w:t>х населенных пунктов, пешеходные переходы, бульвары, площади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E4A"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 проезды, велодорожки и объекты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 придорожные стоянки (парковки) транспортных средств в границах городских улиц и дорог, за исключением объектов, предусмотренных видами разрешенного использования с </w:t>
            </w:r>
            <w:hyperlink r:id="rId5" w:history="1">
              <w:r w:rsidRPr="00960E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кодами 2.7.1</w:t>
              </w:r>
            </w:hyperlink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960E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4.9</w:t>
              </w:r>
            </w:hyperlink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960E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7.2.3</w:t>
              </w:r>
            </w:hyperlink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, а также некапитальных сооружений</w:t>
            </w: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DBF">
              <w:rPr>
                <w:rFonts w:ascii="Times New Roman" w:hAnsi="Times New Roman" w:cs="Times New Roman"/>
                <w:sz w:val="24"/>
                <w:szCs w:val="24"/>
              </w:rPr>
              <w:t>предназначенных для охраны транспортных средств</w:t>
            </w:r>
            <w:proofErr w:type="gramEnd"/>
          </w:p>
        </w:tc>
        <w:tc>
          <w:tcPr>
            <w:tcW w:w="3119" w:type="dxa"/>
          </w:tcPr>
          <w:p w:rsidR="00537A56" w:rsidRPr="00537DBF" w:rsidRDefault="00537A56" w:rsidP="0001127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устанавливается</w:t>
            </w:r>
          </w:p>
        </w:tc>
      </w:tr>
    </w:tbl>
    <w:p w:rsidR="00537A56" w:rsidRDefault="00537A56" w:rsidP="00537A56">
      <w:pPr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rFonts w:ascii="Calibri" w:hAnsi="Calibri"/>
          <w:color w:val="000000" w:themeColor="text1"/>
          <w:szCs w:val="24"/>
        </w:rPr>
      </w:pPr>
    </w:p>
    <w:p w:rsidR="00537A56" w:rsidRPr="00537DBF" w:rsidRDefault="00537A56" w:rsidP="00537A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color w:val="000000" w:themeColor="text1"/>
          <w:szCs w:val="24"/>
        </w:rPr>
      </w:pPr>
      <w:r w:rsidRPr="00537DBF">
        <w:rPr>
          <w:color w:val="000000" w:themeColor="text1"/>
          <w:szCs w:val="24"/>
        </w:rPr>
        <w:t>2.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888"/>
        <w:gridCol w:w="3021"/>
        <w:gridCol w:w="3021"/>
      </w:tblGrid>
      <w:tr w:rsidR="00537A56" w:rsidRPr="0086399F" w:rsidTr="0001127E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86399F"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color w:val="000000" w:themeColor="text1"/>
              </w:rPr>
            </w:pPr>
            <w:r w:rsidRPr="0086399F">
              <w:rPr>
                <w:color w:val="000000" w:themeColor="text1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86399F">
              <w:t>Вспомогательный вид разрешённого использования объекта капитального строительства</w:t>
            </w:r>
          </w:p>
        </w:tc>
      </w:tr>
      <w:tr w:rsidR="00537A56" w:rsidRPr="0086399F" w:rsidTr="0001127E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ind w:firstLine="0"/>
              <w:contextualSpacing/>
            </w:pPr>
            <w:r w:rsidRPr="0086399F"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  <w:r w:rsidRPr="0086399F">
              <w:t>Наименование</w:t>
            </w:r>
          </w:p>
        </w:tc>
        <w:tc>
          <w:tcPr>
            <w:tcW w:w="3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7A56" w:rsidRPr="0086399F" w:rsidRDefault="00537A56" w:rsidP="0001127E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</w:pPr>
          </w:p>
        </w:tc>
      </w:tr>
      <w:tr w:rsidR="00537A56" w:rsidRPr="0086399F" w:rsidTr="0001127E">
        <w:trPr>
          <w:trHeight w:val="978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A10C88" w:rsidRDefault="00537A56" w:rsidP="0001127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A10C88" w:rsidRDefault="00537A56" w:rsidP="0001127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88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30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7A56" w:rsidRPr="00AD73EA" w:rsidRDefault="00537A56" w:rsidP="0001127E">
            <w:pPr>
              <w:spacing w:line="240" w:lineRule="auto"/>
              <w:jc w:val="both"/>
            </w:pPr>
            <w:proofErr w:type="gramStart"/>
            <w:r>
              <w:rPr>
                <w:szCs w:val="24"/>
              </w:rPr>
              <w:t xml:space="preserve">Объекты капитального строительства, </w:t>
            </w:r>
            <w:r>
              <w:t xml:space="preserve">размещение которых предусмотрено видами разрешенного использования с </w:t>
            </w:r>
            <w:hyperlink r:id="rId8" w:history="1">
              <w:r>
                <w:rPr>
                  <w:rStyle w:val="a5"/>
                </w:rPr>
                <w:t>кодами 3.1</w:t>
              </w:r>
            </w:hyperlink>
            <w:r>
              <w:t xml:space="preserve">, </w:t>
            </w:r>
            <w:hyperlink r:id="rId9" w:history="1">
              <w:r>
                <w:rPr>
                  <w:rStyle w:val="a5"/>
                </w:rPr>
                <w:t>3.2</w:t>
              </w:r>
            </w:hyperlink>
            <w:r>
              <w:t xml:space="preserve">, </w:t>
            </w:r>
            <w:hyperlink r:id="rId10" w:history="1">
              <w:r>
                <w:rPr>
                  <w:rStyle w:val="a5"/>
                </w:rPr>
                <w:t>3.3</w:t>
              </w:r>
            </w:hyperlink>
            <w:r>
              <w:t xml:space="preserve">, </w:t>
            </w:r>
            <w:hyperlink r:id="rId11" w:history="1">
              <w:r>
                <w:rPr>
                  <w:rStyle w:val="a5"/>
                </w:rPr>
                <w:t>3.4</w:t>
              </w:r>
            </w:hyperlink>
            <w:r>
              <w:t xml:space="preserve">, </w:t>
            </w:r>
            <w:hyperlink r:id="rId12" w:history="1">
              <w:r>
                <w:rPr>
                  <w:rStyle w:val="a5"/>
                </w:rPr>
                <w:t>3.4.1</w:t>
              </w:r>
            </w:hyperlink>
            <w:r>
              <w:t xml:space="preserve">, </w:t>
            </w:r>
            <w:hyperlink r:id="rId13" w:history="1">
              <w:r>
                <w:rPr>
                  <w:rStyle w:val="a5"/>
                </w:rPr>
                <w:t>3.5.1</w:t>
              </w:r>
            </w:hyperlink>
            <w:r>
              <w:t xml:space="preserve">, </w:t>
            </w:r>
            <w:hyperlink r:id="rId14" w:history="1">
              <w:r>
                <w:rPr>
                  <w:rStyle w:val="a5"/>
                </w:rPr>
                <w:t>3.6</w:t>
              </w:r>
            </w:hyperlink>
            <w:r>
              <w:t xml:space="preserve">, </w:t>
            </w:r>
            <w:hyperlink r:id="rId15" w:history="1">
              <w:r>
                <w:rPr>
                  <w:rStyle w:val="a5"/>
                </w:rPr>
                <w:t>3.7</w:t>
              </w:r>
            </w:hyperlink>
            <w:r>
              <w:t xml:space="preserve">, </w:t>
            </w:r>
            <w:hyperlink r:id="rId16" w:history="1">
              <w:r>
                <w:rPr>
                  <w:rStyle w:val="a5"/>
                </w:rPr>
                <w:t>3.10.1</w:t>
              </w:r>
            </w:hyperlink>
            <w:r>
              <w:t xml:space="preserve">, </w:t>
            </w:r>
            <w:hyperlink r:id="rId17" w:history="1">
              <w:r>
                <w:rPr>
                  <w:rStyle w:val="a5"/>
                </w:rPr>
                <w:t>4.1</w:t>
              </w:r>
            </w:hyperlink>
            <w:r>
              <w:t xml:space="preserve">, </w:t>
            </w:r>
            <w:hyperlink r:id="rId18" w:history="1">
              <w:r>
                <w:rPr>
                  <w:rStyle w:val="a5"/>
                </w:rPr>
                <w:t>4.3</w:t>
              </w:r>
            </w:hyperlink>
            <w:r>
              <w:t xml:space="preserve">, </w:t>
            </w:r>
            <w:hyperlink r:id="rId19" w:history="1">
              <w:r>
                <w:rPr>
                  <w:rStyle w:val="a5"/>
                </w:rPr>
                <w:t>4.4</w:t>
              </w:r>
            </w:hyperlink>
            <w:r>
              <w:t xml:space="preserve">, </w:t>
            </w:r>
            <w:hyperlink r:id="rId20" w:history="1">
              <w:r>
                <w:rPr>
                  <w:rStyle w:val="a5"/>
                </w:rPr>
                <w:t>4.6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21" w:history="1">
              <w:r>
                <w:rPr>
                  <w:rStyle w:val="a5"/>
                </w:rPr>
                <w:t>5.1.2</w:t>
              </w:r>
            </w:hyperlink>
            <w:r>
              <w:t xml:space="preserve">, </w:t>
            </w:r>
            <w:hyperlink r:id="rId22" w:history="1">
              <w:r>
                <w:rPr>
                  <w:rStyle w:val="a5"/>
                </w:rPr>
                <w:t>5.1.3</w:t>
              </w:r>
            </w:hyperlink>
            <w:r>
              <w:t xml:space="preserve"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 </w:t>
            </w:r>
          </w:p>
        </w:tc>
        <w:tc>
          <w:tcPr>
            <w:tcW w:w="3021" w:type="dxa"/>
          </w:tcPr>
          <w:p w:rsidR="00537A56" w:rsidRPr="00A10C88" w:rsidRDefault="00537A56" w:rsidP="0001127E">
            <w:pPr>
              <w:spacing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 устанавливается</w:t>
            </w:r>
          </w:p>
        </w:tc>
      </w:tr>
    </w:tbl>
    <w:p w:rsidR="00537A56" w:rsidRPr="00A10C88" w:rsidRDefault="00537A56" w:rsidP="00BC592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szCs w:val="24"/>
        </w:rPr>
      </w:pPr>
      <w:r w:rsidRPr="00A10C88">
        <w:rPr>
          <w:szCs w:val="24"/>
        </w:rPr>
        <w:t>3. Ограничения использования земельных участков и объектов капитального строительства указаны в статьях 45 и 46 настоящих Правил.</w:t>
      </w:r>
    </w:p>
    <w:p w:rsidR="00537A56" w:rsidRPr="00A10C88" w:rsidRDefault="00537A56" w:rsidP="00537A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szCs w:val="24"/>
        </w:rPr>
      </w:pPr>
      <w:r w:rsidRPr="00A10C88">
        <w:rPr>
          <w:szCs w:val="24"/>
        </w:rPr>
        <w:t xml:space="preserve">4. Для </w:t>
      </w:r>
      <w:r>
        <w:rPr>
          <w:szCs w:val="24"/>
        </w:rPr>
        <w:t xml:space="preserve">территориальной </w:t>
      </w:r>
      <w:r w:rsidRPr="00A10C88">
        <w:rPr>
          <w:szCs w:val="24"/>
        </w:rPr>
        <w:t xml:space="preserve">зоны </w:t>
      </w:r>
      <w:r w:rsidRPr="00A10C88">
        <w:t xml:space="preserve">ведения садоводства на землях сельскохозяйственного </w:t>
      </w:r>
      <w:r>
        <w:t xml:space="preserve">        </w:t>
      </w:r>
      <w:r w:rsidRPr="00A10C88">
        <w:t xml:space="preserve">назначения за пределами границ населенных пунктов и в </w:t>
      </w:r>
      <w:proofErr w:type="spellStart"/>
      <w:r w:rsidRPr="00A10C88">
        <w:t>жд</w:t>
      </w:r>
      <w:proofErr w:type="spellEnd"/>
      <w:r w:rsidRPr="00A10C88">
        <w:t xml:space="preserve">. ст. Ковда,  </w:t>
      </w:r>
      <w:proofErr w:type="spellStart"/>
      <w:r w:rsidRPr="00A10C88">
        <w:t>нп</w:t>
      </w:r>
      <w:proofErr w:type="spellEnd"/>
      <w:r w:rsidRPr="00A10C88">
        <w:t xml:space="preserve">. </w:t>
      </w:r>
      <w:proofErr w:type="spellStart"/>
      <w:r w:rsidRPr="00A10C88">
        <w:t>Пояконда</w:t>
      </w:r>
      <w:proofErr w:type="spellEnd"/>
      <w:r w:rsidRPr="00A10C88">
        <w:t xml:space="preserve"> </w:t>
      </w:r>
      <w:r w:rsidRPr="00A10C88">
        <w:rPr>
          <w:szCs w:val="24"/>
        </w:rPr>
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установлению. Для определения параметров разрешённого строительства, реконструкции объектов капитального строительства необходимо использовать положения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иных технических регламентов.</w:t>
      </w:r>
    </w:p>
    <w:p w:rsidR="00537A56" w:rsidRDefault="00537A56" w:rsidP="00537A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hAnsi="Calibri"/>
          <w:szCs w:val="24"/>
        </w:rPr>
      </w:pPr>
    </w:p>
    <w:p w:rsidR="00E41643" w:rsidRDefault="00E41643" w:rsidP="00BC592E">
      <w:pPr>
        <w:ind w:firstLine="0"/>
      </w:pPr>
    </w:p>
    <w:sectPr w:rsidR="00E41643" w:rsidSect="003B5075">
      <w:pgSz w:w="11906" w:h="16838"/>
      <w:pgMar w:top="1134" w:right="1418" w:bottom="1134" w:left="851" w:header="709" w:footer="5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B4"/>
    <w:rsid w:val="00070B80"/>
    <w:rsid w:val="001C49D7"/>
    <w:rsid w:val="002A259B"/>
    <w:rsid w:val="002D6CDB"/>
    <w:rsid w:val="0038794F"/>
    <w:rsid w:val="003B38B6"/>
    <w:rsid w:val="003B5075"/>
    <w:rsid w:val="00537A56"/>
    <w:rsid w:val="00690480"/>
    <w:rsid w:val="008B126A"/>
    <w:rsid w:val="00920CFD"/>
    <w:rsid w:val="009438A9"/>
    <w:rsid w:val="00960E4A"/>
    <w:rsid w:val="00A07CB4"/>
    <w:rsid w:val="00A10C88"/>
    <w:rsid w:val="00A61299"/>
    <w:rsid w:val="00BC592E"/>
    <w:rsid w:val="00E41643"/>
    <w:rsid w:val="00E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75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B5075"/>
    <w:pPr>
      <w:keepNext/>
      <w:keepLines/>
      <w:spacing w:after="300" w:line="276" w:lineRule="auto"/>
      <w:ind w:firstLine="0"/>
      <w:contextualSpacing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075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3B5075"/>
    <w:pPr>
      <w:spacing w:after="200" w:line="240" w:lineRule="auto"/>
      <w:ind w:left="720" w:firstLine="0"/>
      <w:contextualSpacing/>
      <w:jc w:val="center"/>
    </w:pPr>
    <w:rPr>
      <w:szCs w:val="22"/>
    </w:rPr>
  </w:style>
  <w:style w:type="paragraph" w:customStyle="1" w:styleId="ConsPlusNormal">
    <w:name w:val="ConsPlusNormal"/>
    <w:link w:val="ConsPlusNormal0"/>
    <w:rsid w:val="003B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3B5075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locked/>
    <w:rsid w:val="00E41643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61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75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B5075"/>
    <w:pPr>
      <w:keepNext/>
      <w:keepLines/>
      <w:spacing w:after="300" w:line="276" w:lineRule="auto"/>
      <w:ind w:firstLine="0"/>
      <w:contextualSpacing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075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3B5075"/>
    <w:pPr>
      <w:spacing w:after="200" w:line="240" w:lineRule="auto"/>
      <w:ind w:left="720" w:firstLine="0"/>
      <w:contextualSpacing/>
      <w:jc w:val="center"/>
    </w:pPr>
    <w:rPr>
      <w:szCs w:val="22"/>
    </w:rPr>
  </w:style>
  <w:style w:type="paragraph" w:customStyle="1" w:styleId="ConsPlusNormal">
    <w:name w:val="ConsPlusNormal"/>
    <w:link w:val="ConsPlusNormal0"/>
    <w:rsid w:val="003B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3B5075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locked/>
    <w:rsid w:val="00E41643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61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3603&amp;dst=100115&amp;field=134&amp;date=19.09.2023" TargetMode="External"/><Relationship Id="rId13" Type="http://schemas.openxmlformats.org/officeDocument/2006/relationships/hyperlink" Target="https://login.consultant.ru/link/?req=doc&amp;base=LAW&amp;n=423603&amp;dst=100157&amp;field=134&amp;date=19.09.2023" TargetMode="External"/><Relationship Id="rId18" Type="http://schemas.openxmlformats.org/officeDocument/2006/relationships/hyperlink" Target="https://login.consultant.ru/link/?req=doc&amp;base=LAW&amp;n=423603&amp;dst=100223&amp;field=134&amp;date=19.09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3603&amp;dst=100280&amp;field=134&amp;date=19.09.2023" TargetMode="External"/><Relationship Id="rId7" Type="http://schemas.openxmlformats.org/officeDocument/2006/relationships/hyperlink" Target="https://login.consultant.ru/link/?req=doc&amp;base=LAW&amp;n=423603&amp;dst=100385&amp;field=134&amp;date=19.09.2023" TargetMode="External"/><Relationship Id="rId12" Type="http://schemas.openxmlformats.org/officeDocument/2006/relationships/hyperlink" Target="https://login.consultant.ru/link/?req=doc&amp;base=LAW&amp;n=423603&amp;dst=100145&amp;field=134&amp;date=19.09.2023" TargetMode="External"/><Relationship Id="rId17" Type="http://schemas.openxmlformats.org/officeDocument/2006/relationships/hyperlink" Target="https://login.consultant.ru/link/?req=doc&amp;base=LAW&amp;n=423603&amp;dst=100217&amp;field=134&amp;date=19.09.2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3603&amp;dst=100208&amp;field=134&amp;date=19.09.2023" TargetMode="External"/><Relationship Id="rId20" Type="http://schemas.openxmlformats.org/officeDocument/2006/relationships/hyperlink" Target="https://login.consultant.ru/link/?req=doc&amp;base=LAW&amp;n=423603&amp;dst=100232&amp;field=134&amp;date=19.09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3603&amp;dst=100250&amp;field=134&amp;date=19.09.2023" TargetMode="External"/><Relationship Id="rId11" Type="http://schemas.openxmlformats.org/officeDocument/2006/relationships/hyperlink" Target="https://login.consultant.ru/link/?req=doc&amp;base=LAW&amp;n=423603&amp;dst=100142&amp;field=134&amp;date=19.09.202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3603&amp;dst=100109&amp;field=134&amp;date=19.09.2023" TargetMode="External"/><Relationship Id="rId15" Type="http://schemas.openxmlformats.org/officeDocument/2006/relationships/hyperlink" Target="https://login.consultant.ru/link/?req=doc&amp;base=LAW&amp;n=423603&amp;dst=100175&amp;field=134&amp;date=19.09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3603&amp;dst=100139&amp;field=134&amp;date=19.09.2023" TargetMode="External"/><Relationship Id="rId19" Type="http://schemas.openxmlformats.org/officeDocument/2006/relationships/hyperlink" Target="https://login.consultant.ru/link/?req=doc&amp;base=LAW&amp;n=423603&amp;dst=100226&amp;field=134&amp;date=19.09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3603&amp;dst=100124&amp;field=134&amp;date=19.09.2023" TargetMode="External"/><Relationship Id="rId14" Type="http://schemas.openxmlformats.org/officeDocument/2006/relationships/hyperlink" Target="https://login.consultant.ru/link/?req=doc&amp;base=LAW&amp;n=423603&amp;dst=100163&amp;field=134&amp;date=19.09.2023" TargetMode="External"/><Relationship Id="rId22" Type="http://schemas.openxmlformats.org/officeDocument/2006/relationships/hyperlink" Target="https://login.consultant.ru/link/?req=doc&amp;base=LAW&amp;n=423603&amp;dst=100283&amp;field=134&amp;date=19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2024-02-29T07:29:00Z</cp:lastPrinted>
  <dcterms:created xsi:type="dcterms:W3CDTF">2023-09-11T11:38:00Z</dcterms:created>
  <dcterms:modified xsi:type="dcterms:W3CDTF">2024-05-03T09:37:00Z</dcterms:modified>
</cp:coreProperties>
</file>