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left="-283" w:right="0" w:firstLine="0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Segoe UI" w:hAnsi="Segoe UI" w:cs="Segoe UI"/>
        </w:rP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160610" cy="829405"/>
                <wp:effectExtent l="0" t="0" r="0" b="0"/>
                <wp:docPr id="1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2160609" cy="8294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0.13pt;height:65.31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Пресс-релиз</w:t>
      </w:r>
      <w:r>
        <w:rPr>
          <w:rFonts w:ascii="Times New Roman" w:hAnsi="Times New Roman" w:cs="Times New Roman"/>
          <w:b w:val="0"/>
          <w:bCs w:val="0"/>
          <w:color w:val="auto"/>
        </w:rPr>
      </w:r>
      <w:r>
        <w:rPr>
          <w:rFonts w:ascii="Times New Roman" w:hAnsi="Times New Roman" w:cs="Times New Roman"/>
          <w:b w:val="0"/>
          <w:bCs w:val="0"/>
          <w:color w:val="auto"/>
        </w:rPr>
      </w:r>
    </w:p>
    <w:p>
      <w:r/>
      <w:r/>
    </w:p>
    <w:p>
      <w:r/>
      <w:r/>
    </w:p>
    <w:p>
      <w:pPr>
        <w:ind w:firstLine="709"/>
        <w:jc w:val="center"/>
        <w:shd w:val="clear" w:color="auto" w:fill="ffffff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1f497d" w:themeColor="text2"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32"/>
          <w:szCs w:val="32"/>
        </w:rPr>
        <w:t xml:space="preserve">С 1 марта 2025 года юридические лица должны подавать заявления на регистрацию недвижимости только в электро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32"/>
          <w:szCs w:val="32"/>
        </w:rPr>
        <w:t xml:space="preserve">нном виде</w:t>
      </w:r>
      <w: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r>
    </w:p>
    <w:p>
      <w:pPr>
        <w:ind w:right="-1"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r>
      <w:r>
        <w:rPr>
          <w:rFonts w:ascii="Times New Roman" w:hAnsi="Times New Roman" w:cs="Times New Roman"/>
          <w:i/>
          <w:color w:val="000000"/>
          <w:sz w:val="28"/>
          <w:szCs w:val="28"/>
        </w:rPr>
      </w:r>
      <w:r>
        <w:rPr>
          <w:rFonts w:ascii="Times New Roman" w:hAnsi="Times New Roman" w:cs="Times New Roman"/>
          <w:i/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Нововведение предусмотрено Федеральным законом от 26.12.2024 № </w:t>
      </w:r>
      <w:hyperlink r:id="rId12" w:tooltip="https://www.consultant.ru/document/cons_doc_LAW_494419/" w:history="1">
        <w:r>
          <w:rPr>
            <w:rStyle w:val="910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487-ФЗ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«О внесении изменений в отдельные законодательные акты Российской Федерации», который вступит в силу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 1 марта 2025 года. Данный закон определяет порядок электронного взаимодействия между Росреестром и юридическими лицами.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/>
        <w:br/>
        <w:t xml:space="preserve">Согласно новым правилам, с 1 марта 2025 года юридические лица должны подавать заявления на государственный кадастровый учёт и государственную регистрацию прав с прилагаемыми к ним документами только в электро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нной форме.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Бумажные документы будут возвращаться без рассмотрения.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Исключение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составляют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случаи, когда стороной сделки является физическое лицо (кроме договоров участия в долевом строительстве).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Также законом установлено, что юридическое лицо вправе предоставить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регистрирующий орган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документы на бумаге при временной технической невозможности направить их в электронном виде.</w:t>
      </w:r>
      <w:r>
        <w:rPr>
          <w:color w:val="auto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Кроме этого,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до 1 января 2026 года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возможность подачи заявлений на бумажном носителе сохранится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за рядом юридических лиц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 ним относятся: крестьянские (фермерские) хозяйства, садоводческие и огороднические товарищества, гаражные, жилищные и жилищно-строительные кооперативы, а также товарищества собственников жилья.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Мурманской области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2024 году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юридические лица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подали 11690 заявлений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на кадастровый учет и регистрацию прав на объекты недвижимости, в том числе в рамках «единой процедуры». Из них в электроном виде - 67%.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 общего количества всех электронных заявлений,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поступивших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прошлом году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на проведение учетно-регистрационных действий,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доля юридических лиц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составила 11,2%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, – 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ообщила руководитель Управления Росреестра по Мурманской области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Анна Бойко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Что касается регистрации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договоров участия в долевом строительстве, то с 1 марта 2025 года они должны быть направлены в Росреестр только в форме электронных документов.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Подписанный собственноручными подписями скан-образ бумажного договора не является электронным документом.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Зак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он также обязал зас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тройщиков после подписания передаточного акта самостоятельно направлять в Росреестр заявления и документы для регистрации права собственности участника долевого строительства исключительно в электронной форме.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После регистрации застройщик должен передать собственнику объекта выписку из Единого государственного реестра недвижимости.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Подать электронные документы в Росреестр можно через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личный кабинет на официальном сайте Росреестра,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сервис прямого доступа (СПД-3),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сервис взаимодействия с Росреестром и Адаптер электронного взаимодействия,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федеральную государственную информационную систему межведомственного электронного взаимодействия (СМЭВ), а также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другими способами, предусмотренными пунктом 2 части 1 статьи 18 Федерального закона от 13.07.2015 № 218-ФЗ «О государственной регистрации недвижимости».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</w:p>
    <w:p>
      <w:pPr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color w:val="292c2f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Разобраться во всех нюансах также поможет </w:t>
      </w:r>
      <w:hyperlink r:id="rId13" w:tooltip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w:history="1">
        <w:r>
          <w:rPr>
            <w:rStyle w:val="910"/>
            <w:rFonts w:ascii="Times New Roman" w:hAnsi="Times New Roman" w:eastAsia="Times New Roman" w:cs="Times New Roman"/>
            <w:color w:val="auto"/>
            <w:sz w:val="28"/>
            <w:szCs w:val="28"/>
            <w:u w:val="single"/>
          </w:rPr>
          <w:t xml:space="preserve">методичка</w:t>
        </w:r>
      </w:hyperlink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Росре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естра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hyperlink r:id="rId14" w:tooltip="https://rosreestr.gov.ru/upload/Doc/informatsiya/Электронное взаимодействие Росреестра с юрлицами.pdf." w:history="1">
        <w:r>
          <w:rPr>
            <w:rStyle w:val="910"/>
            <w:rFonts w:ascii="Times New Roman" w:hAnsi="Times New Roman" w:eastAsia="Times New Roman" w:cs="Times New Roman"/>
            <w:sz w:val="28"/>
            <w:szCs w:val="28"/>
          </w:rPr>
          <w:t xml:space="preserve">https://rosreestr.gov.ru/upload/Doc/informatsiya/Электронное%20взаимодействие%20Росреестра%20с%20юрлицами.pdf</w:t>
        </w:r>
        <w:r>
          <w:rPr>
            <w:rStyle w:val="910"/>
            <w:rFonts w:ascii="Times New Roman" w:hAnsi="Times New Roman" w:eastAsia="Times New Roman" w:cs="Times New Roman"/>
            <w:sz w:val="28"/>
            <w:szCs w:val="28"/>
          </w:rPr>
          <w:t xml:space="preserve">.</w:t>
        </w:r>
        <w:r>
          <w:rPr>
            <w:rStyle w:val="910"/>
            <w:sz w:val="28"/>
            <w:szCs w:val="28"/>
            <w:highlight w:val="none"/>
          </w:rPr>
        </w:r>
      </w:hyperlink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92c2f"/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92c2f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lef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br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3951369907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8240;o:allowoverlap:true;o:allowincell:true;mso-position-horizontal-relative:text;margin-left:-5.95pt;mso-position-horizontal:absolute;mso-position-vertical-relative:text;margin-top:3.8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Контакты для СМИ: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Пресс-служба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Управления Росреестра по Мурманской области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t xml:space="preserve">8 (8152) 56-70-01 (</w:t>
      </w:r>
      <w:r>
        <w:rPr>
          <w:bCs/>
          <w:sz w:val="18"/>
          <w:szCs w:val="18"/>
        </w:rPr>
        <w:t xml:space="preserve">доб</w:t>
      </w:r>
      <w:r>
        <w:rPr>
          <w:bCs/>
          <w:sz w:val="18"/>
          <w:szCs w:val="18"/>
          <w:lang w:val="en-US"/>
        </w:rPr>
        <w:t xml:space="preserve">. 3004)</w:t>
      </w:r>
      <w:r>
        <w:rPr>
          <w:bCs/>
          <w:sz w:val="18"/>
          <w:szCs w:val="18"/>
          <w:lang w:val="en-US"/>
        </w:rPr>
      </w:r>
      <w:r>
        <w:rPr>
          <w:bCs/>
          <w:sz w:val="18"/>
          <w:szCs w:val="18"/>
          <w:lang w:val="en-US"/>
        </w:rPr>
      </w:r>
    </w:p>
    <w:p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е</w:t>
      </w:r>
      <w:r>
        <w:rPr>
          <w:sz w:val="18"/>
          <w:szCs w:val="18"/>
          <w:lang w:val="en-US"/>
        </w:rPr>
        <w:t xml:space="preserve">-mail: </w:t>
      </w:r>
      <w:hyperlink r:id="rId15" w:tooltip="mailto:51_upr@rosreestr.ru" w:history="1">
        <w:r>
          <w:rPr>
            <w:color w:val="0000ff"/>
            <w:sz w:val="18"/>
            <w:szCs w:val="18"/>
            <w:u w:val="single"/>
            <w:lang w:val="en-US"/>
          </w:rPr>
          <w:t xml:space="preserve">51_upr@rosreestr.ru</w:t>
        </w:r>
      </w:hyperlink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</w:p>
    <w:p>
      <w:pPr>
        <w:rPr>
          <w:sz w:val="20"/>
          <w:szCs w:val="20"/>
        </w:rPr>
      </w:pPr>
      <w:r>
        <w:rPr>
          <w:sz w:val="18"/>
          <w:szCs w:val="18"/>
        </w:rPr>
        <w:t xml:space="preserve">183025, Мурманск, ул. Полярные Зори, 22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42" w:right="567" w:bottom="567" w:left="70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2035360"/>
      <w:rPr/>
    </w:sdtPr>
    <w:sdtContent>
      <w:p>
        <w:pPr>
          <w:pStyle w:val="88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92c2f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92c2f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92c2f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92c2f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92c2f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92c2f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92c2f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92c2f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92c2f"/>
        <w:sz w:val="21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6"/>
    <w:link w:val="873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876"/>
    <w:link w:val="874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876"/>
    <w:link w:val="875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2"/>
    <w:next w:val="872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before="0" w:after="0" w:line="240" w:lineRule="auto"/>
    </w:pPr>
  </w:style>
  <w:style w:type="character" w:styleId="718">
    <w:name w:val="Title Char"/>
    <w:basedOn w:val="876"/>
    <w:link w:val="894"/>
    <w:uiPriority w:val="10"/>
    <w:rPr>
      <w:sz w:val="48"/>
      <w:szCs w:val="48"/>
    </w:rPr>
  </w:style>
  <w:style w:type="paragraph" w:styleId="719">
    <w:name w:val="Subtitle"/>
    <w:basedOn w:val="872"/>
    <w:next w:val="87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6"/>
    <w:link w:val="719"/>
    <w:uiPriority w:val="11"/>
    <w:rPr>
      <w:sz w:val="24"/>
      <w:szCs w:val="24"/>
    </w:rPr>
  </w:style>
  <w:style w:type="paragraph" w:styleId="721">
    <w:name w:val="Quote"/>
    <w:basedOn w:val="872"/>
    <w:next w:val="872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2"/>
    <w:next w:val="872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6"/>
    <w:link w:val="882"/>
    <w:uiPriority w:val="99"/>
  </w:style>
  <w:style w:type="character" w:styleId="726">
    <w:name w:val="Footer Char"/>
    <w:basedOn w:val="876"/>
    <w:link w:val="884"/>
    <w:uiPriority w:val="99"/>
  </w:style>
  <w:style w:type="paragraph" w:styleId="727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84"/>
    <w:uiPriority w:val="99"/>
  </w:style>
  <w:style w:type="table" w:styleId="729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6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6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3">
    <w:name w:val="Heading 1"/>
    <w:basedOn w:val="872"/>
    <w:next w:val="872"/>
    <w:link w:val="89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74">
    <w:name w:val="Heading 2"/>
    <w:basedOn w:val="872"/>
    <w:next w:val="872"/>
    <w:link w:val="901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75">
    <w:name w:val="Heading 3"/>
    <w:basedOn w:val="872"/>
    <w:next w:val="872"/>
    <w:link w:val="902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character" w:styleId="879">
    <w:name w:val="Hyperlink"/>
    <w:basedOn w:val="876"/>
    <w:uiPriority w:val="99"/>
    <w:unhideWhenUsed/>
    <w:rPr>
      <w:color w:val="0000ff" w:themeColor="hyperlink"/>
      <w:u w:val="single"/>
    </w:rPr>
  </w:style>
  <w:style w:type="paragraph" w:styleId="880">
    <w:name w:val="Normal (Web)"/>
    <w:basedOn w:val="872"/>
    <w:uiPriority w:val="99"/>
    <w:unhideWhenUsed/>
    <w:pPr>
      <w:spacing w:before="100" w:beforeAutospacing="1" w:after="100" w:afterAutospacing="1"/>
    </w:pPr>
  </w:style>
  <w:style w:type="character" w:styleId="881">
    <w:name w:val="Strong"/>
    <w:basedOn w:val="876"/>
    <w:uiPriority w:val="22"/>
    <w:qFormat/>
    <w:rPr>
      <w:b/>
      <w:bCs/>
    </w:rPr>
  </w:style>
  <w:style w:type="paragraph" w:styleId="882">
    <w:name w:val="Header"/>
    <w:basedOn w:val="872"/>
    <w:link w:val="883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83" w:customStyle="1">
    <w:name w:val="Верхний колонтитул Знак"/>
    <w:basedOn w:val="876"/>
    <w:link w:val="882"/>
    <w:uiPriority w:val="99"/>
  </w:style>
  <w:style w:type="paragraph" w:styleId="884">
    <w:name w:val="Footer"/>
    <w:basedOn w:val="872"/>
    <w:link w:val="88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876"/>
    <w:link w:val="884"/>
    <w:uiPriority w:val="99"/>
    <w:semiHidden/>
  </w:style>
  <w:style w:type="paragraph" w:styleId="886">
    <w:name w:val="Balloon Text"/>
    <w:basedOn w:val="872"/>
    <w:link w:val="887"/>
    <w:uiPriority w:val="99"/>
    <w:semiHidden/>
    <w:unhideWhenUsed/>
    <w:rPr>
      <w:rFonts w:ascii="Tahoma" w:hAnsi="Tahoma" w:cs="Tahoma" w:eastAsiaTheme="minorHAnsi"/>
      <w:sz w:val="16"/>
      <w:szCs w:val="16"/>
      <w:lang w:eastAsia="en-US"/>
    </w:rPr>
  </w:style>
  <w:style w:type="character" w:styleId="887" w:customStyle="1">
    <w:name w:val="Текст выноски Знак"/>
    <w:basedOn w:val="876"/>
    <w:link w:val="886"/>
    <w:uiPriority w:val="99"/>
    <w:semiHidden/>
    <w:rPr>
      <w:rFonts w:ascii="Tahoma" w:hAnsi="Tahoma" w:cs="Tahoma"/>
      <w:sz w:val="16"/>
      <w:szCs w:val="16"/>
    </w:rPr>
  </w:style>
  <w:style w:type="paragraph" w:styleId="888" w:customStyle="1">
    <w:name w:val="Default"/>
    <w:pPr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eastAsia="ru-RU"/>
    </w:rPr>
  </w:style>
  <w:style w:type="paragraph" w:styleId="889" w:customStyle="1">
    <w:name w:val="ConsPlusNormal"/>
    <w:pPr>
      <w:spacing w:after="0" w:line="240" w:lineRule="auto"/>
    </w:pPr>
    <w:rPr>
      <w:rFonts w:ascii="Segoe UI" w:hAnsi="Segoe UI" w:eastAsia="Calibri" w:cs="Segoe UI"/>
      <w:lang w:eastAsia="ru-RU"/>
    </w:rPr>
  </w:style>
  <w:style w:type="paragraph" w:styleId="890">
    <w:name w:val="List Paragraph"/>
    <w:basedOn w:val="8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91" w:customStyle="1">
    <w:name w:val="_58cl"/>
    <w:basedOn w:val="876"/>
  </w:style>
  <w:style w:type="character" w:styleId="892" w:customStyle="1">
    <w:name w:val="_58cm"/>
    <w:basedOn w:val="876"/>
  </w:style>
  <w:style w:type="character" w:styleId="893" w:customStyle="1">
    <w:name w:val="Заголовок 1 Знак"/>
    <w:basedOn w:val="876"/>
    <w:link w:val="87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894">
    <w:name w:val="Title"/>
    <w:basedOn w:val="872"/>
    <w:link w:val="895"/>
    <w:qFormat/>
    <w:pPr>
      <w:jc w:val="center"/>
    </w:pPr>
    <w:rPr>
      <w:b/>
      <w:sz w:val="28"/>
      <w:szCs w:val="20"/>
    </w:rPr>
  </w:style>
  <w:style w:type="character" w:styleId="895" w:customStyle="1">
    <w:name w:val="Заголовок Знак"/>
    <w:basedOn w:val="876"/>
    <w:link w:val="894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96" w:customStyle="1">
    <w:name w:val="blk"/>
    <w:basedOn w:val="876"/>
  </w:style>
  <w:style w:type="paragraph" w:styleId="897" w:customStyle="1">
    <w:name w:val="pc"/>
    <w:basedOn w:val="872"/>
    <w:pPr>
      <w:spacing w:before="100" w:beforeAutospacing="1" w:after="100" w:afterAutospacing="1"/>
    </w:pPr>
  </w:style>
  <w:style w:type="paragraph" w:styleId="898">
    <w:name w:val="Body Text Indent"/>
    <w:basedOn w:val="872"/>
    <w:link w:val="899"/>
    <w:pPr>
      <w:ind w:firstLine="720"/>
      <w:jc w:val="both"/>
    </w:pPr>
    <w:rPr>
      <w:szCs w:val="20"/>
    </w:rPr>
  </w:style>
  <w:style w:type="character" w:styleId="899" w:customStyle="1">
    <w:name w:val="Основной текст с отступом Знак"/>
    <w:basedOn w:val="876"/>
    <w:link w:val="898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00" w:customStyle="1">
    <w:name w:val="s_1"/>
    <w:basedOn w:val="872"/>
    <w:pPr>
      <w:spacing w:before="100" w:beforeAutospacing="1" w:after="100" w:afterAutospacing="1"/>
    </w:pPr>
  </w:style>
  <w:style w:type="character" w:styleId="901" w:customStyle="1">
    <w:name w:val="Заголовок 2 Знак"/>
    <w:basedOn w:val="876"/>
    <w:link w:val="87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02" w:customStyle="1">
    <w:name w:val="Заголовок 3 Знак"/>
    <w:basedOn w:val="876"/>
    <w:link w:val="875"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ru-RU"/>
    </w:rPr>
  </w:style>
  <w:style w:type="character" w:styleId="903" w:customStyle="1">
    <w:name w:val="Гипертекстовая ссылка"/>
    <w:basedOn w:val="876"/>
    <w:uiPriority w:val="99"/>
    <w:rPr>
      <w:color w:val="106bbe"/>
    </w:rPr>
  </w:style>
  <w:style w:type="character" w:styleId="904">
    <w:name w:val="annotation reference"/>
    <w:basedOn w:val="876"/>
    <w:uiPriority w:val="99"/>
    <w:semiHidden/>
    <w:unhideWhenUsed/>
    <w:rPr>
      <w:sz w:val="16"/>
      <w:szCs w:val="16"/>
    </w:rPr>
  </w:style>
  <w:style w:type="paragraph" w:styleId="905">
    <w:name w:val="annotation text"/>
    <w:basedOn w:val="872"/>
    <w:link w:val="906"/>
    <w:uiPriority w:val="99"/>
    <w:semiHidden/>
    <w:unhideWhenUsed/>
    <w:rPr>
      <w:sz w:val="20"/>
      <w:szCs w:val="20"/>
    </w:rPr>
  </w:style>
  <w:style w:type="character" w:styleId="906" w:customStyle="1">
    <w:name w:val="Текст примечания Знак"/>
    <w:basedOn w:val="876"/>
    <w:link w:val="90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7">
    <w:name w:val="annotation subject"/>
    <w:basedOn w:val="905"/>
    <w:next w:val="905"/>
    <w:link w:val="908"/>
    <w:uiPriority w:val="99"/>
    <w:semiHidden/>
    <w:unhideWhenUsed/>
    <w:rPr>
      <w:b/>
      <w:bCs/>
    </w:rPr>
  </w:style>
  <w:style w:type="character" w:styleId="908" w:customStyle="1">
    <w:name w:val="Тема примечания Знак"/>
    <w:basedOn w:val="906"/>
    <w:link w:val="907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909" w:customStyle="1">
    <w:name w:val="markedcontent"/>
    <w:basedOn w:val="876"/>
  </w:style>
  <w:style w:type="character" w:styleId="910" w:customStyle="1">
    <w:name w:val="Гиперссылка"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s://www.consultant.ru/document/cons_doc_LAW_494419/" TargetMode="External"/><Relationship Id="rId13" Type="http://schemas.openxmlformats.org/officeDocument/2006/relationships/hyperlink" Target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TargetMode="External"/><Relationship Id="rId14" Type="http://schemas.openxmlformats.org/officeDocument/2006/relationships/hyperlink" Target="https://rosreestr.gov.ru/upload/Doc/informatsiya/&#1069;&#1083;&#1077;&#1082;&#1090;&#1088;&#1086;&#1085;&#1085;&#1086;&#1077; &#1074;&#1079;&#1072;&#1080;&#1084;&#1086;&#1076;&#1077;&#1081;&#1089;&#1090;&#1074;&#1080;&#1077; &#1056;&#1086;&#1089;&#1088;&#1077;&#1077;&#1089;&#1090;&#1088;&#1072; &#1089; &#1102;&#1088;&#1083;&#1080;&#1094;&#1072;&#1084;&#1080;.pdf." TargetMode="External"/><Relationship Id="rId15" Type="http://schemas.openxmlformats.org/officeDocument/2006/relationships/hyperlink" Target="mailto:51_upr@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D4A59-412C-4251-BE07-3918715E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skryganovanv</cp:lastModifiedBy>
  <cp:revision>20</cp:revision>
  <dcterms:created xsi:type="dcterms:W3CDTF">2023-09-25T08:48:00Z</dcterms:created>
  <dcterms:modified xsi:type="dcterms:W3CDTF">2025-02-17T12:51:48Z</dcterms:modified>
</cp:coreProperties>
</file>